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811D" w14:textId="7F10876E" w:rsidR="00A82995" w:rsidRPr="00C9070A" w:rsidRDefault="00A82995" w:rsidP="00A8299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</w:pPr>
      <w:r w:rsidRPr="00C9070A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 xml:space="preserve">INFORMACION IMPORTANTE PARA LOS DEPORTISTAS, </w:t>
      </w:r>
      <w:r w:rsidR="00EE13F5" w:rsidRPr="00C9070A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br/>
      </w:r>
      <w:r w:rsidRPr="00C9070A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 xml:space="preserve">PERSONAL DE APOYO, FEDERACIONES Y ASOCIACIONES DEPORTIVAS </w:t>
      </w:r>
    </w:p>
    <w:p w14:paraId="281A1E70" w14:textId="77777777" w:rsidR="00A82995" w:rsidRPr="00A82995" w:rsidRDefault="00A82995" w:rsidP="00A82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0D0E6D8E" w14:textId="77777777" w:rsidR="003F5334" w:rsidRPr="00C9070A" w:rsidRDefault="003F5334" w:rsidP="00193BA9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val="es-ES"/>
        </w:rPr>
      </w:pPr>
      <w:r w:rsidRPr="00C9070A">
        <w:rPr>
          <w:rFonts w:ascii="Arial" w:hAnsi="Arial" w:cs="Arial"/>
          <w:b/>
          <w:color w:val="00B050"/>
          <w:sz w:val="28"/>
          <w:szCs w:val="28"/>
          <w:lang w:val="es-ES"/>
        </w:rPr>
        <w:t>SUSTANCIAS DE ABUSO SEGÚN EL CÓDIGO MUNDIAL ANTIDOPAJE 2021</w:t>
      </w:r>
    </w:p>
    <w:p w14:paraId="7D8DA345" w14:textId="77777777" w:rsidR="008E2EB1" w:rsidRDefault="008E2EB1" w:rsidP="00193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DBD813B" w14:textId="7FCB41D7" w:rsidR="003F5334" w:rsidRPr="003F5334" w:rsidRDefault="003F5334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F5334">
        <w:rPr>
          <w:rFonts w:ascii="Arial" w:hAnsi="Arial" w:cs="Arial"/>
          <w:sz w:val="24"/>
          <w:szCs w:val="24"/>
          <w:lang w:val="es-ES"/>
        </w:rPr>
        <w:t>De conformidad con el Artículo 4.2.3 del Código Mundial Antidopaje de 2021, algunas sustancias de la Lista de Sustancias Prohibidas y Métodos Prohibidos</w:t>
      </w:r>
      <w:r w:rsidR="00EE13F5">
        <w:rPr>
          <w:rFonts w:ascii="Arial" w:hAnsi="Arial" w:cs="Arial"/>
          <w:sz w:val="24"/>
          <w:szCs w:val="24"/>
          <w:lang w:val="es-ES"/>
        </w:rPr>
        <w:t>,</w:t>
      </w:r>
      <w:r w:rsidRPr="003F5334">
        <w:rPr>
          <w:rFonts w:ascii="Arial" w:hAnsi="Arial" w:cs="Arial"/>
          <w:sz w:val="24"/>
          <w:szCs w:val="24"/>
          <w:lang w:val="es-ES"/>
        </w:rPr>
        <w:t xml:space="preserve"> </w:t>
      </w:r>
      <w:r w:rsidR="008E2EB1">
        <w:rPr>
          <w:rFonts w:ascii="Arial" w:hAnsi="Arial" w:cs="Arial"/>
          <w:sz w:val="24"/>
          <w:szCs w:val="24"/>
          <w:lang w:val="es-ES"/>
        </w:rPr>
        <w:t xml:space="preserve">aprobada por la Agencia Mundial Antidopaje para el año </w:t>
      </w:r>
      <w:r w:rsidRPr="003F5334">
        <w:rPr>
          <w:rFonts w:ascii="Arial" w:hAnsi="Arial" w:cs="Arial"/>
          <w:sz w:val="24"/>
          <w:szCs w:val="24"/>
          <w:lang w:val="es-ES"/>
        </w:rPr>
        <w:t>2021</w:t>
      </w:r>
      <w:r w:rsidR="008E2EB1">
        <w:rPr>
          <w:rFonts w:ascii="Arial" w:hAnsi="Arial" w:cs="Arial"/>
          <w:sz w:val="24"/>
          <w:szCs w:val="24"/>
          <w:lang w:val="es-ES"/>
        </w:rPr>
        <w:t>,</w:t>
      </w:r>
      <w:r w:rsidRPr="003F5334">
        <w:rPr>
          <w:rFonts w:ascii="Arial" w:hAnsi="Arial" w:cs="Arial"/>
          <w:sz w:val="24"/>
          <w:szCs w:val="24"/>
          <w:lang w:val="es-ES"/>
        </w:rPr>
        <w:t xml:space="preserve"> han </w:t>
      </w:r>
      <w:r w:rsidR="008E2EB1">
        <w:rPr>
          <w:rFonts w:ascii="Arial" w:hAnsi="Arial" w:cs="Arial"/>
          <w:sz w:val="24"/>
          <w:szCs w:val="24"/>
          <w:lang w:val="es-ES"/>
        </w:rPr>
        <w:t xml:space="preserve">sido </w:t>
      </w:r>
      <w:r w:rsidRPr="003F5334">
        <w:rPr>
          <w:rFonts w:ascii="Arial" w:hAnsi="Arial" w:cs="Arial"/>
          <w:sz w:val="24"/>
          <w:szCs w:val="24"/>
          <w:lang w:val="es-ES"/>
        </w:rPr>
        <w:t>identificad</w:t>
      </w:r>
      <w:r w:rsidR="008E2EB1">
        <w:rPr>
          <w:rFonts w:ascii="Arial" w:hAnsi="Arial" w:cs="Arial"/>
          <w:sz w:val="24"/>
          <w:szCs w:val="24"/>
          <w:lang w:val="es-ES"/>
        </w:rPr>
        <w:t xml:space="preserve">as o clasificadas </w:t>
      </w:r>
      <w:r w:rsidRPr="003F5334">
        <w:rPr>
          <w:rFonts w:ascii="Arial" w:hAnsi="Arial" w:cs="Arial"/>
          <w:sz w:val="24"/>
          <w:szCs w:val="24"/>
          <w:lang w:val="es-ES"/>
        </w:rPr>
        <w:t>como Sustancias de Abuso</w:t>
      </w:r>
      <w:r w:rsidR="008E2EB1" w:rsidRPr="00205C5E">
        <w:rPr>
          <w:rFonts w:ascii="Arial" w:hAnsi="Arial" w:cs="Arial"/>
          <w:b/>
          <w:sz w:val="24"/>
          <w:szCs w:val="24"/>
          <w:lang w:val="es-ES"/>
        </w:rPr>
        <w:t>,</w:t>
      </w:r>
      <w:r w:rsidRPr="00205C5E">
        <w:rPr>
          <w:rFonts w:ascii="Arial" w:hAnsi="Arial" w:cs="Arial"/>
          <w:b/>
          <w:sz w:val="24"/>
          <w:szCs w:val="24"/>
          <w:lang w:val="es-ES"/>
        </w:rPr>
        <w:t xml:space="preserve"> “por</w:t>
      </w:r>
      <w:r w:rsidR="00205C5E">
        <w:rPr>
          <w:rFonts w:ascii="Arial" w:hAnsi="Arial" w:cs="Arial"/>
          <w:b/>
          <w:sz w:val="24"/>
          <w:szCs w:val="24"/>
          <w:lang w:val="es-ES"/>
        </w:rPr>
        <w:t xml:space="preserve"> considerar </w:t>
      </w:r>
      <w:r w:rsidRPr="00205C5E">
        <w:rPr>
          <w:rFonts w:ascii="Arial" w:hAnsi="Arial" w:cs="Arial"/>
          <w:b/>
          <w:sz w:val="24"/>
          <w:szCs w:val="24"/>
          <w:lang w:val="es-ES"/>
        </w:rPr>
        <w:t xml:space="preserve">que se abusa </w:t>
      </w:r>
      <w:r w:rsidR="008E2EB1" w:rsidRPr="00205C5E">
        <w:rPr>
          <w:rFonts w:ascii="Arial" w:hAnsi="Arial" w:cs="Arial"/>
          <w:b/>
          <w:sz w:val="24"/>
          <w:szCs w:val="24"/>
          <w:lang w:val="es-ES"/>
        </w:rPr>
        <w:t xml:space="preserve">de ellas </w:t>
      </w:r>
      <w:r w:rsidRPr="00205C5E">
        <w:rPr>
          <w:rFonts w:ascii="Arial" w:hAnsi="Arial" w:cs="Arial"/>
          <w:b/>
          <w:sz w:val="24"/>
          <w:szCs w:val="24"/>
          <w:lang w:val="es-ES"/>
        </w:rPr>
        <w:t>con frecuencia en</w:t>
      </w:r>
      <w:r w:rsidR="00EE13F5">
        <w:rPr>
          <w:rFonts w:ascii="Arial" w:hAnsi="Arial" w:cs="Arial"/>
          <w:b/>
          <w:sz w:val="24"/>
          <w:szCs w:val="24"/>
          <w:lang w:val="es-ES"/>
        </w:rPr>
        <w:t xml:space="preserve"> la</w:t>
      </w:r>
      <w:r w:rsidRPr="00205C5E">
        <w:rPr>
          <w:rFonts w:ascii="Arial" w:hAnsi="Arial" w:cs="Arial"/>
          <w:b/>
          <w:sz w:val="24"/>
          <w:szCs w:val="24"/>
          <w:lang w:val="es-ES"/>
        </w:rPr>
        <w:t xml:space="preserve"> sociedad fuera del contexto del deporte”.</w:t>
      </w:r>
    </w:p>
    <w:p w14:paraId="2A139551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5418F2" w14:textId="77777777" w:rsidR="00193BA9" w:rsidRDefault="008E2EB1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sustancias de abuso relacionadas son </w:t>
      </w:r>
      <w:r w:rsidR="00193BA9">
        <w:rPr>
          <w:rFonts w:ascii="Arial" w:hAnsi="Arial" w:cs="Arial"/>
          <w:sz w:val="24"/>
          <w:szCs w:val="24"/>
          <w:lang w:val="es-ES"/>
        </w:rPr>
        <w:t>las siguientes:</w:t>
      </w:r>
    </w:p>
    <w:p w14:paraId="514DD18E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6D2607" w14:textId="77777777" w:rsidR="003F5334" w:rsidRPr="00205C5E" w:rsidRDefault="003F5334" w:rsidP="00193B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Cocaína (S.6a - Estimulantes no especificados);</w:t>
      </w:r>
    </w:p>
    <w:p w14:paraId="4358B488" w14:textId="164EFF1A" w:rsidR="003F5334" w:rsidRPr="00205C5E" w:rsidRDefault="003F5334" w:rsidP="00193B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Metilendioximetanfetamina (MDMA/“éxtasis”) (S.6b - Estimulantes especificados);</w:t>
      </w:r>
    </w:p>
    <w:p w14:paraId="3D12A504" w14:textId="77777777" w:rsidR="003F5334" w:rsidRPr="00205C5E" w:rsidRDefault="003F5334" w:rsidP="00193B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Diamorfina (heroína) (S.7 - Narcóticos); y</w:t>
      </w:r>
    </w:p>
    <w:p w14:paraId="0F515B9B" w14:textId="77777777" w:rsidR="003F5334" w:rsidRPr="00205C5E" w:rsidRDefault="003F5334" w:rsidP="00193B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Tetrahidrocannabinol (THC) (S.8 - Cannabinoides).</w:t>
      </w:r>
    </w:p>
    <w:p w14:paraId="3F33F1EC" w14:textId="77777777" w:rsidR="003F5334" w:rsidRPr="00205C5E" w:rsidRDefault="003F5334" w:rsidP="003F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6D4AF72" w14:textId="21DDF700" w:rsidR="00193BA9" w:rsidRDefault="00090F4D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los efectos propios de interpretación de la normativa antidopaje en este contexto, se debe tomar en consideración que d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>conformidad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con el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>rtículo 10.2.4.1 del Código</w:t>
      </w:r>
      <w:r>
        <w:rPr>
          <w:rFonts w:ascii="Arial" w:hAnsi="Arial" w:cs="Arial"/>
          <w:sz w:val="24"/>
          <w:szCs w:val="24"/>
          <w:lang w:val="es-ES"/>
        </w:rPr>
        <w:t xml:space="preserve"> Mundial Antidopaje 2021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, cuando la </w:t>
      </w:r>
      <w:r w:rsidR="00205C5E">
        <w:rPr>
          <w:rFonts w:ascii="Arial" w:hAnsi="Arial" w:cs="Arial"/>
          <w:sz w:val="24"/>
          <w:szCs w:val="24"/>
          <w:lang w:val="es-ES"/>
        </w:rPr>
        <w:t>v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iolación de </w:t>
      </w:r>
      <w:r w:rsidR="0006624C">
        <w:rPr>
          <w:rFonts w:ascii="Arial" w:hAnsi="Arial" w:cs="Arial"/>
          <w:sz w:val="24"/>
          <w:szCs w:val="24"/>
          <w:lang w:val="es-ES"/>
        </w:rPr>
        <w:t>una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</w:t>
      </w:r>
      <w:r w:rsidR="0006624C">
        <w:rPr>
          <w:rFonts w:ascii="Arial" w:hAnsi="Arial" w:cs="Arial"/>
          <w:sz w:val="24"/>
          <w:szCs w:val="24"/>
          <w:lang w:val="es-ES"/>
        </w:rPr>
        <w:t>r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egla </w:t>
      </w:r>
      <w:r w:rsidR="0006624C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ntidopaje involucra una </w:t>
      </w:r>
      <w:r w:rsidR="00205C5E">
        <w:rPr>
          <w:rFonts w:ascii="Arial" w:hAnsi="Arial" w:cs="Arial"/>
          <w:sz w:val="24"/>
          <w:szCs w:val="24"/>
          <w:lang w:val="es-ES"/>
        </w:rPr>
        <w:t>s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ustancia de </w:t>
      </w:r>
      <w:r w:rsidR="00205C5E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buso y el </w:t>
      </w:r>
      <w:r w:rsidR="00205C5E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>tleta pued</w:t>
      </w:r>
      <w:r w:rsidR="00EE13F5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</w:t>
      </w:r>
      <w:r w:rsidR="0006624C">
        <w:rPr>
          <w:rFonts w:ascii="Arial" w:hAnsi="Arial" w:cs="Arial"/>
          <w:sz w:val="24"/>
          <w:szCs w:val="24"/>
          <w:lang w:val="es-ES"/>
        </w:rPr>
        <w:t>demostrar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que cualquier ingestión o </w:t>
      </w:r>
      <w:r w:rsidR="00205C5E">
        <w:rPr>
          <w:rFonts w:ascii="Arial" w:hAnsi="Arial" w:cs="Arial"/>
          <w:sz w:val="24"/>
          <w:szCs w:val="24"/>
          <w:lang w:val="es-ES"/>
        </w:rPr>
        <w:t>u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so ocurrió fuera de la </w:t>
      </w:r>
      <w:r w:rsidR="00205C5E">
        <w:rPr>
          <w:rFonts w:ascii="Arial" w:hAnsi="Arial" w:cs="Arial"/>
          <w:sz w:val="24"/>
          <w:szCs w:val="24"/>
          <w:lang w:val="es-ES"/>
        </w:rPr>
        <w:t>c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ompetencia y no estuvo relacionado con el rendimiento deportivo, el período de </w:t>
      </w:r>
      <w:r w:rsidR="00205C5E">
        <w:rPr>
          <w:rFonts w:ascii="Arial" w:hAnsi="Arial" w:cs="Arial"/>
          <w:sz w:val="24"/>
          <w:szCs w:val="24"/>
          <w:lang w:val="es-ES"/>
        </w:rPr>
        <w:t>i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nelegibilidad </w:t>
      </w:r>
      <w:r w:rsidR="0006624C">
        <w:rPr>
          <w:rFonts w:ascii="Arial" w:hAnsi="Arial" w:cs="Arial"/>
          <w:sz w:val="24"/>
          <w:szCs w:val="24"/>
          <w:lang w:val="es-ES"/>
        </w:rPr>
        <w:t xml:space="preserve">podría 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ser </w:t>
      </w:r>
      <w:r w:rsidR="0006624C">
        <w:rPr>
          <w:rFonts w:ascii="Arial" w:hAnsi="Arial" w:cs="Arial"/>
          <w:sz w:val="24"/>
          <w:szCs w:val="24"/>
          <w:lang w:val="es-ES"/>
        </w:rPr>
        <w:t xml:space="preserve">de 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tres (3) meses. </w:t>
      </w:r>
    </w:p>
    <w:p w14:paraId="685B718B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1FC621" w14:textId="77777777" w:rsidR="003F5334" w:rsidRPr="003F5334" w:rsidRDefault="0006624C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 obstante lo anterior, 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el período de </w:t>
      </w:r>
      <w:r>
        <w:rPr>
          <w:rFonts w:ascii="Arial" w:hAnsi="Arial" w:cs="Arial"/>
          <w:sz w:val="24"/>
          <w:szCs w:val="24"/>
          <w:lang w:val="es-ES"/>
        </w:rPr>
        <w:t>i</w:t>
      </w:r>
      <w:r w:rsidR="003F5334" w:rsidRPr="003F5334">
        <w:rPr>
          <w:rFonts w:ascii="Arial" w:hAnsi="Arial" w:cs="Arial"/>
          <w:sz w:val="24"/>
          <w:szCs w:val="24"/>
          <w:lang w:val="es-ES"/>
        </w:rPr>
        <w:t>nelegibilidad calculado puede reducirse a un (1) mes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si el </w:t>
      </w:r>
      <w:r w:rsidR="00205C5E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tleta u otra </w:t>
      </w:r>
      <w:r w:rsidR="00205C5E">
        <w:rPr>
          <w:rFonts w:ascii="Arial" w:hAnsi="Arial" w:cs="Arial"/>
          <w:sz w:val="24"/>
          <w:szCs w:val="24"/>
          <w:lang w:val="es-ES"/>
        </w:rPr>
        <w:t>p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ersona completa satisfactoriamente un programa de tratamiento de </w:t>
      </w:r>
      <w:r w:rsidR="00205C5E">
        <w:rPr>
          <w:rFonts w:ascii="Arial" w:hAnsi="Arial" w:cs="Arial"/>
          <w:sz w:val="24"/>
          <w:szCs w:val="24"/>
          <w:lang w:val="es-ES"/>
        </w:rPr>
        <w:t>s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ustancias de </w:t>
      </w:r>
      <w:r w:rsidR="00205C5E">
        <w:rPr>
          <w:rFonts w:ascii="Arial" w:hAnsi="Arial" w:cs="Arial"/>
          <w:sz w:val="24"/>
          <w:szCs w:val="24"/>
          <w:lang w:val="es-ES"/>
        </w:rPr>
        <w:t>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buso aprobado por </w:t>
      </w:r>
      <w:r>
        <w:rPr>
          <w:rFonts w:ascii="Arial" w:hAnsi="Arial" w:cs="Arial"/>
          <w:sz w:val="24"/>
          <w:szCs w:val="24"/>
          <w:lang w:val="es-ES"/>
        </w:rPr>
        <w:t>una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Organización Antidopaje con responsabilidad</w:t>
      </w:r>
      <w:r>
        <w:rPr>
          <w:rFonts w:ascii="Arial" w:hAnsi="Arial" w:cs="Arial"/>
          <w:sz w:val="24"/>
          <w:szCs w:val="24"/>
          <w:lang w:val="es-ES"/>
        </w:rPr>
        <w:t xml:space="preserve"> en la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Gestión de Resultados.</w:t>
      </w:r>
    </w:p>
    <w:p w14:paraId="3900914B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D2B1A7" w14:textId="5B599164" w:rsidR="00193BA9" w:rsidRDefault="00205C5E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ese mismo contexto</w:t>
      </w:r>
      <w:r w:rsidR="0006624C">
        <w:rPr>
          <w:rFonts w:ascii="Arial" w:hAnsi="Arial" w:cs="Arial"/>
          <w:sz w:val="24"/>
          <w:szCs w:val="24"/>
          <w:lang w:val="es-ES"/>
        </w:rPr>
        <w:t xml:space="preserve"> e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s importante señalar que la definición de </w:t>
      </w:r>
      <w:r w:rsidR="0006624C" w:rsidRPr="00205C5E">
        <w:rPr>
          <w:rFonts w:ascii="Arial" w:hAnsi="Arial" w:cs="Arial"/>
          <w:sz w:val="24"/>
          <w:szCs w:val="24"/>
          <w:u w:val="single"/>
          <w:lang w:val="es-ES"/>
        </w:rPr>
        <w:t>“e</w:t>
      </w:r>
      <w:r w:rsidR="003F5334" w:rsidRPr="00205C5E">
        <w:rPr>
          <w:rFonts w:ascii="Arial" w:hAnsi="Arial" w:cs="Arial"/>
          <w:sz w:val="24"/>
          <w:szCs w:val="24"/>
          <w:u w:val="single"/>
          <w:lang w:val="es-ES"/>
        </w:rPr>
        <w:t xml:space="preserve">n </w:t>
      </w:r>
      <w:r w:rsidR="0006624C" w:rsidRPr="00205C5E">
        <w:rPr>
          <w:rFonts w:ascii="Arial" w:hAnsi="Arial" w:cs="Arial"/>
          <w:sz w:val="24"/>
          <w:szCs w:val="24"/>
          <w:u w:val="single"/>
          <w:lang w:val="es-ES"/>
        </w:rPr>
        <w:t>c</w:t>
      </w:r>
      <w:r w:rsidR="003F5334" w:rsidRPr="00205C5E">
        <w:rPr>
          <w:rFonts w:ascii="Arial" w:hAnsi="Arial" w:cs="Arial"/>
          <w:sz w:val="24"/>
          <w:szCs w:val="24"/>
          <w:u w:val="single"/>
          <w:lang w:val="es-ES"/>
        </w:rPr>
        <w:t>ompetición</w:t>
      </w:r>
      <w:r w:rsidR="0006624C" w:rsidRPr="00205C5E">
        <w:rPr>
          <w:rFonts w:ascii="Arial" w:hAnsi="Arial" w:cs="Arial"/>
          <w:sz w:val="24"/>
          <w:szCs w:val="24"/>
          <w:u w:val="single"/>
          <w:lang w:val="es-ES"/>
        </w:rPr>
        <w:t>”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es la siguiente: 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>“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e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 xml:space="preserve">l período que comienza a las 11:59 p.m. el día antes de una 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c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 xml:space="preserve">ompetencia en la que el </w:t>
      </w:r>
      <w:r>
        <w:rPr>
          <w:rFonts w:ascii="Arial" w:hAnsi="Arial" w:cs="Arial"/>
          <w:b/>
          <w:sz w:val="24"/>
          <w:szCs w:val="24"/>
          <w:lang w:val="es-ES"/>
        </w:rPr>
        <w:t>a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>tleta está programado para participar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,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 xml:space="preserve"> hasta el final de dicha 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c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 xml:space="preserve">ompetencia y el proceso de recolección de 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m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 xml:space="preserve">uestras relacionado con dicha 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c</w:t>
      </w:r>
      <w:r w:rsidR="003F5334" w:rsidRPr="0006624C">
        <w:rPr>
          <w:rFonts w:ascii="Arial" w:hAnsi="Arial" w:cs="Arial"/>
          <w:b/>
          <w:sz w:val="24"/>
          <w:szCs w:val="24"/>
          <w:lang w:val="es-ES"/>
        </w:rPr>
        <w:t>ompetencia.</w:t>
      </w:r>
      <w:r w:rsidR="0006624C" w:rsidRPr="0006624C">
        <w:rPr>
          <w:rFonts w:ascii="Arial" w:hAnsi="Arial" w:cs="Arial"/>
          <w:b/>
          <w:sz w:val="24"/>
          <w:szCs w:val="24"/>
          <w:lang w:val="es-ES"/>
        </w:rPr>
        <w:t>”</w:t>
      </w:r>
    </w:p>
    <w:p w14:paraId="5EF6317A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5D4FF0C" w14:textId="3E7A9633" w:rsidR="003F5334" w:rsidRPr="003F5334" w:rsidRDefault="00205C5E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 anterior sin perjuicio </w:t>
      </w:r>
      <w:r w:rsidR="00EE13F5">
        <w:rPr>
          <w:rFonts w:ascii="Arial" w:hAnsi="Arial" w:cs="Arial"/>
          <w:sz w:val="24"/>
          <w:szCs w:val="24"/>
          <w:lang w:val="es-ES"/>
        </w:rPr>
        <w:t xml:space="preserve">de </w:t>
      </w:r>
      <w:r w:rsidR="003F5334" w:rsidRPr="003F5334">
        <w:rPr>
          <w:rFonts w:ascii="Arial" w:hAnsi="Arial" w:cs="Arial"/>
          <w:sz w:val="24"/>
          <w:szCs w:val="24"/>
          <w:lang w:val="es-ES"/>
        </w:rPr>
        <w:t>que la A</w:t>
      </w:r>
      <w:r>
        <w:rPr>
          <w:rFonts w:ascii="Arial" w:hAnsi="Arial" w:cs="Arial"/>
          <w:sz w:val="24"/>
          <w:szCs w:val="24"/>
          <w:lang w:val="es-ES"/>
        </w:rPr>
        <w:t xml:space="preserve">gencia </w:t>
      </w:r>
      <w:r w:rsidR="003F5334" w:rsidRPr="003F5334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undial </w:t>
      </w:r>
      <w:r w:rsidR="003F5334" w:rsidRPr="003F5334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ntidopaje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pued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aprobar, para un deporte en particular una definición alternativa</w:t>
      </w:r>
      <w:r w:rsidR="00EE13F5">
        <w:rPr>
          <w:rFonts w:ascii="Arial" w:hAnsi="Arial" w:cs="Arial"/>
          <w:sz w:val="24"/>
          <w:szCs w:val="24"/>
          <w:lang w:val="es-ES"/>
        </w:rPr>
        <w:t>. S</w:t>
      </w:r>
      <w:r w:rsidR="003F5334" w:rsidRPr="003F5334">
        <w:rPr>
          <w:rFonts w:ascii="Arial" w:hAnsi="Arial" w:cs="Arial"/>
          <w:sz w:val="24"/>
          <w:szCs w:val="24"/>
          <w:lang w:val="es-ES"/>
        </w:rPr>
        <w:t>i una Federación Internacional proporciona una justificación convincente de que es necesaria una definición diferente para su deporte</w:t>
      </w:r>
      <w:r w:rsidR="00EE13F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y si ese fuese el caso, 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una vez aprobada por la AMA, todas las Organizaciones de Grandes Eventos para ese deporte en particular </w:t>
      </w:r>
      <w:r>
        <w:rPr>
          <w:rFonts w:ascii="Arial" w:hAnsi="Arial" w:cs="Arial"/>
          <w:sz w:val="24"/>
          <w:szCs w:val="24"/>
          <w:lang w:val="es-ES"/>
        </w:rPr>
        <w:t xml:space="preserve">aplicarán </w:t>
      </w:r>
      <w:r w:rsidR="003F5334" w:rsidRPr="003F5334">
        <w:rPr>
          <w:rFonts w:ascii="Arial" w:hAnsi="Arial" w:cs="Arial"/>
          <w:sz w:val="24"/>
          <w:szCs w:val="24"/>
          <w:lang w:val="es-ES"/>
        </w:rPr>
        <w:t>la definición alternativa".</w:t>
      </w:r>
    </w:p>
    <w:p w14:paraId="77492E25" w14:textId="77777777" w:rsidR="00205C5E" w:rsidRDefault="00205C5E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7C49E3" w14:textId="77777777" w:rsidR="003F5334" w:rsidRPr="00205C5E" w:rsidRDefault="003F5334" w:rsidP="003F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05C5E">
        <w:rPr>
          <w:rFonts w:ascii="Arial" w:hAnsi="Arial" w:cs="Arial"/>
          <w:b/>
          <w:sz w:val="24"/>
          <w:szCs w:val="24"/>
          <w:u w:val="single"/>
          <w:lang w:val="es-ES"/>
        </w:rPr>
        <w:t>Para la aplicación de esta disposición del Código, las concentraciones analíticas informadas por los Laboratorios acreditados por la AMA deben interpretarse de la siguiente manera:</w:t>
      </w:r>
    </w:p>
    <w:p w14:paraId="342B5A77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E3A4844" w14:textId="77777777" w:rsidR="00205C5E" w:rsidRPr="00205C5E" w:rsidRDefault="003F5334" w:rsidP="003F53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Para la cocaína:</w:t>
      </w:r>
      <w:r w:rsidR="00205C5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05C5E">
        <w:rPr>
          <w:rFonts w:ascii="Arial" w:hAnsi="Arial" w:cs="Arial"/>
          <w:sz w:val="24"/>
          <w:szCs w:val="24"/>
          <w:lang w:val="es-ES"/>
        </w:rPr>
        <w:t>Las siguientes situaciones deben considerarse con mayor probabilidad de corresponder a un uso de cocaína en competencia:</w:t>
      </w:r>
    </w:p>
    <w:p w14:paraId="1CF34C05" w14:textId="75BA0E42" w:rsidR="003F5334" w:rsidRPr="00205C5E" w:rsidRDefault="003F5334" w:rsidP="00205C5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>Presencia de compuesto original de cocaína a una concentración urinaria estimada superior a (&gt;) 10 ng/mL; o</w:t>
      </w:r>
    </w:p>
    <w:p w14:paraId="3CB82446" w14:textId="703B595C" w:rsidR="003F5334" w:rsidRPr="00205C5E" w:rsidRDefault="003F5334" w:rsidP="003F533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>Presencia de benzoilecgonina (principal metabolito de la cocaína) a una concentración urinaria superior a (&gt;) 1000 ng/mL combinada con la presencia del compuesto original de cocaína entre (≥) 1 ng/mL y (≤) 10 ng/mL.</w:t>
      </w:r>
    </w:p>
    <w:p w14:paraId="7F545DB4" w14:textId="77777777" w:rsidR="003F5334" w:rsidRPr="003F5334" w:rsidRDefault="003F5334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9BBF25" w14:textId="77777777" w:rsidR="003F5334" w:rsidRPr="00205C5E" w:rsidRDefault="003F5334" w:rsidP="003F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05C5E">
        <w:rPr>
          <w:rFonts w:ascii="Arial" w:hAnsi="Arial" w:cs="Arial"/>
          <w:b/>
          <w:sz w:val="24"/>
          <w:szCs w:val="24"/>
          <w:u w:val="single"/>
          <w:lang w:val="es-ES"/>
        </w:rPr>
        <w:t>Notas</w:t>
      </w:r>
      <w:r w:rsidR="00205C5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importantes</w:t>
      </w:r>
      <w:r w:rsidRPr="00205C5E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</w:p>
    <w:p w14:paraId="0C00D8EB" w14:textId="2FE01F26" w:rsidR="00205C5E" w:rsidRDefault="003F5334" w:rsidP="00205C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>El compuesto original de cocaína puede degradarse significativamente a benzoilecgonina en la orina básica (pH= 8 o más), y la Autoridad de Gestión de Resultados debe considerar la presencia de concentraciones urinarias altas de benzoilecgonina en tales orinas básicas como un signo de posible</w:t>
      </w:r>
      <w:r w:rsidR="00205C5E">
        <w:rPr>
          <w:rFonts w:ascii="Arial" w:hAnsi="Arial" w:cs="Arial"/>
          <w:sz w:val="24"/>
          <w:szCs w:val="24"/>
          <w:lang w:val="es-ES"/>
        </w:rPr>
        <w:t xml:space="preserve"> consumo e</w:t>
      </w:r>
      <w:r w:rsidRPr="00205C5E">
        <w:rPr>
          <w:rFonts w:ascii="Arial" w:hAnsi="Arial" w:cs="Arial"/>
          <w:sz w:val="24"/>
          <w:szCs w:val="24"/>
          <w:lang w:val="es-ES"/>
        </w:rPr>
        <w:t>n Competición. El consumo de cocaína, en particular cuando se toma junto con la cocaína anterior o futura, resulta del mismo atleta.</w:t>
      </w:r>
    </w:p>
    <w:p w14:paraId="178E671F" w14:textId="12196A8E" w:rsidR="003F5334" w:rsidRPr="00205C5E" w:rsidRDefault="003F5334" w:rsidP="00205C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 xml:space="preserve">El consumo de té de coca, como se observa en algunas partes restringidas del mundo, poco antes de una competencia, podría conducir a un efecto analítico adverso </w:t>
      </w:r>
      <w:r w:rsidR="00EE13F5">
        <w:rPr>
          <w:rFonts w:ascii="Arial" w:hAnsi="Arial" w:cs="Arial"/>
          <w:sz w:val="24"/>
          <w:szCs w:val="24"/>
          <w:lang w:val="es-ES"/>
        </w:rPr>
        <w:t>al e</w:t>
      </w:r>
      <w:r w:rsidRPr="00205C5E">
        <w:rPr>
          <w:rFonts w:ascii="Arial" w:hAnsi="Arial" w:cs="Arial"/>
          <w:sz w:val="24"/>
          <w:szCs w:val="24"/>
          <w:lang w:val="es-ES"/>
        </w:rPr>
        <w:t>ncontrar cocaína</w:t>
      </w:r>
      <w:r w:rsidR="00EE13F5">
        <w:rPr>
          <w:rFonts w:ascii="Arial" w:hAnsi="Arial" w:cs="Arial"/>
          <w:sz w:val="24"/>
          <w:szCs w:val="24"/>
          <w:lang w:val="es-ES"/>
        </w:rPr>
        <w:t xml:space="preserve"> en la orina</w:t>
      </w:r>
      <w:r w:rsidRPr="00205C5E">
        <w:rPr>
          <w:rFonts w:ascii="Arial" w:hAnsi="Arial" w:cs="Arial"/>
          <w:sz w:val="24"/>
          <w:szCs w:val="24"/>
          <w:lang w:val="es-ES"/>
        </w:rPr>
        <w:t>.</w:t>
      </w:r>
    </w:p>
    <w:p w14:paraId="4D16C922" w14:textId="77777777" w:rsidR="003F5334" w:rsidRPr="00205C5E" w:rsidRDefault="003F5334" w:rsidP="003F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E2EF204" w14:textId="77777777" w:rsidR="003F5334" w:rsidRDefault="003F5334" w:rsidP="00193B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Para tetrahidrocannabinol (THC):</w:t>
      </w:r>
    </w:p>
    <w:p w14:paraId="6A078D65" w14:textId="3C50E370" w:rsidR="003F5334" w:rsidRPr="00205C5E" w:rsidRDefault="003F5334" w:rsidP="003F533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>La presencia de carboxi-THC a una concentración superior (&gt;) al límite de decisión (DL) (1) de 180</w:t>
      </w:r>
      <w:r w:rsidR="00EE13F5">
        <w:rPr>
          <w:rFonts w:ascii="Arial" w:hAnsi="Arial" w:cs="Arial"/>
          <w:sz w:val="24"/>
          <w:szCs w:val="24"/>
          <w:lang w:val="es-ES"/>
        </w:rPr>
        <w:t xml:space="preserve"> </w:t>
      </w:r>
      <w:r w:rsidRPr="00205C5E">
        <w:rPr>
          <w:rFonts w:ascii="Arial" w:hAnsi="Arial" w:cs="Arial"/>
          <w:sz w:val="24"/>
          <w:szCs w:val="24"/>
          <w:lang w:val="es-ES"/>
        </w:rPr>
        <w:t>ng/ml debe considerarse más probable que corresponda a un consumo de cannabis en competición.</w:t>
      </w:r>
    </w:p>
    <w:p w14:paraId="3EC844F7" w14:textId="2CCAE7C6" w:rsidR="003F5334" w:rsidRDefault="003F5334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2A7064" w14:textId="77777777" w:rsidR="00C9070A" w:rsidRPr="003F5334" w:rsidRDefault="00C9070A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0A9970" w14:textId="77777777" w:rsidR="003F5334" w:rsidRDefault="003F5334" w:rsidP="003F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b/>
          <w:sz w:val="24"/>
          <w:szCs w:val="24"/>
          <w:lang w:val="es-ES"/>
        </w:rPr>
        <w:t>Nota</w:t>
      </w:r>
      <w:r w:rsidR="00205C5E">
        <w:rPr>
          <w:rFonts w:ascii="Arial" w:hAnsi="Arial" w:cs="Arial"/>
          <w:b/>
          <w:sz w:val="24"/>
          <w:szCs w:val="24"/>
          <w:lang w:val="es-ES"/>
        </w:rPr>
        <w:t xml:space="preserve"> importante</w:t>
      </w:r>
      <w:r w:rsidRPr="00205C5E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45AD3222" w14:textId="77777777" w:rsidR="003F5334" w:rsidRPr="00205C5E" w:rsidRDefault="003F5334" w:rsidP="00205C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05C5E">
        <w:rPr>
          <w:rFonts w:ascii="Arial" w:hAnsi="Arial" w:cs="Arial"/>
          <w:sz w:val="24"/>
          <w:szCs w:val="24"/>
          <w:lang w:val="es-ES"/>
        </w:rPr>
        <w:t>Para el carboxi-THC, ya se ha establecido un límite de decisión (Código anterior a 2021), por lo que no se informará ningún resultado analítico adverso para concentraciones por debajo del límite de decisión.</w:t>
      </w:r>
    </w:p>
    <w:p w14:paraId="20691107" w14:textId="77777777" w:rsidR="003F5334" w:rsidRPr="003F5334" w:rsidRDefault="003F5334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BF08BD" w14:textId="77777777" w:rsidR="003F5334" w:rsidRPr="003F5334" w:rsidRDefault="00205C5E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importante tomar en cuenta que los criterios anteriores, </w:t>
      </w:r>
      <w:r w:rsidR="003F5334" w:rsidRPr="003F5334">
        <w:rPr>
          <w:rFonts w:ascii="Arial" w:hAnsi="Arial" w:cs="Arial"/>
          <w:sz w:val="24"/>
          <w:szCs w:val="24"/>
          <w:lang w:val="es-ES"/>
        </w:rPr>
        <w:t>debe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3F5334" w:rsidRPr="003F5334">
        <w:rPr>
          <w:rFonts w:ascii="Arial" w:hAnsi="Arial" w:cs="Arial"/>
          <w:sz w:val="24"/>
          <w:szCs w:val="24"/>
          <w:lang w:val="es-ES"/>
        </w:rPr>
        <w:t xml:space="preserve"> usarse solo como guía, ya que puede no aplicarse en cada caso. Cada asunto se revisará con base en los hechos específicos del caso para tomar una determinación.</w:t>
      </w:r>
    </w:p>
    <w:p w14:paraId="30BF3AA4" w14:textId="77777777" w:rsidR="00193BA9" w:rsidRDefault="00193BA9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281950" w14:textId="775E333C" w:rsidR="003F5334" w:rsidRPr="003F5334" w:rsidRDefault="003F5334" w:rsidP="003F53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F5334">
        <w:rPr>
          <w:rFonts w:ascii="Arial" w:hAnsi="Arial" w:cs="Arial"/>
          <w:sz w:val="24"/>
          <w:szCs w:val="24"/>
          <w:lang w:val="es-ES"/>
        </w:rPr>
        <w:t xml:space="preserve">En los próximos meses </w:t>
      </w:r>
      <w:r w:rsidR="0095129A">
        <w:rPr>
          <w:rFonts w:ascii="Arial" w:hAnsi="Arial" w:cs="Arial"/>
          <w:sz w:val="24"/>
          <w:szCs w:val="24"/>
          <w:lang w:val="es-ES"/>
        </w:rPr>
        <w:t xml:space="preserve">la Agencia Mundial Antidopaje </w:t>
      </w:r>
      <w:r w:rsidRPr="003F5334">
        <w:rPr>
          <w:rFonts w:ascii="Arial" w:hAnsi="Arial" w:cs="Arial"/>
          <w:sz w:val="24"/>
          <w:szCs w:val="24"/>
          <w:lang w:val="es-ES"/>
        </w:rPr>
        <w:t>publicará más información sobre metilendioximetanfetamina (MDMA / “éxtasis”) y diamorfina (heroína)</w:t>
      </w:r>
      <w:r w:rsidR="00EE13F5">
        <w:rPr>
          <w:rFonts w:ascii="Arial" w:hAnsi="Arial" w:cs="Arial"/>
          <w:sz w:val="24"/>
          <w:szCs w:val="24"/>
          <w:lang w:val="es-ES"/>
        </w:rPr>
        <w:t>.</w:t>
      </w:r>
    </w:p>
    <w:sectPr w:rsidR="003F5334" w:rsidRPr="003F5334" w:rsidSect="00C00AA0">
      <w:headerReference w:type="default" r:id="rId7"/>
      <w:footerReference w:type="default" r:id="rId8"/>
      <w:pgSz w:w="12240" w:h="15840"/>
      <w:pgMar w:top="2592" w:right="1440" w:bottom="259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D177" w14:textId="77777777" w:rsidR="00B10880" w:rsidRDefault="00B10880" w:rsidP="00B4370B">
      <w:pPr>
        <w:spacing w:after="0" w:line="240" w:lineRule="auto"/>
      </w:pPr>
      <w:r>
        <w:separator/>
      </w:r>
    </w:p>
  </w:endnote>
  <w:endnote w:type="continuationSeparator" w:id="0">
    <w:p w14:paraId="428A05CB" w14:textId="77777777" w:rsidR="00B10880" w:rsidRDefault="00B10880" w:rsidP="00B4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05AF" w14:textId="77777777" w:rsidR="00C9070A" w:rsidRPr="00EE34C3" w:rsidRDefault="00C9070A" w:rsidP="00C9070A">
    <w:pPr>
      <w:spacing w:after="0" w:line="240" w:lineRule="auto"/>
      <w:ind w:left="-540" w:right="-496"/>
      <w:jc w:val="center"/>
      <w:rPr>
        <w:b/>
        <w:noProof/>
        <w:color w:val="000080"/>
        <w:sz w:val="18"/>
        <w:szCs w:val="18"/>
        <w:lang w:val="es-GT" w:eastAsia="es-ES"/>
      </w:rPr>
    </w:pPr>
    <w:r>
      <w:rPr>
        <w:b/>
        <w:noProof/>
        <w:color w:val="000080"/>
        <w:sz w:val="18"/>
        <w:szCs w:val="18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3287E" wp14:editId="00656961">
              <wp:simplePos x="0" y="0"/>
              <wp:positionH relativeFrom="column">
                <wp:posOffset>-405765</wp:posOffset>
              </wp:positionH>
              <wp:positionV relativeFrom="paragraph">
                <wp:posOffset>-4445</wp:posOffset>
              </wp:positionV>
              <wp:extent cx="6286500" cy="0"/>
              <wp:effectExtent l="19050" t="20320" r="19050" b="1778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8DF6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.35pt" to="463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" strokecolor="navy" strokeweight="1.75pt"/>
          </w:pict>
        </mc:Fallback>
      </mc:AlternateContent>
    </w:r>
    <w:r w:rsidRPr="00EE34C3">
      <w:rPr>
        <w:b/>
        <w:noProof/>
        <w:color w:val="000080"/>
        <w:sz w:val="18"/>
        <w:szCs w:val="18"/>
        <w:lang w:val="es-GT" w:eastAsia="es-ES"/>
      </w:rPr>
      <w:t xml:space="preserve">12 Avenida 14-41, zona 10 </w:t>
    </w:r>
  </w:p>
  <w:p w14:paraId="19DACF96" w14:textId="758C0586" w:rsidR="00C9070A" w:rsidRDefault="00C9070A" w:rsidP="00C9070A">
    <w:pPr>
      <w:spacing w:after="0" w:line="240" w:lineRule="auto"/>
      <w:ind w:left="-540" w:right="-496"/>
      <w:jc w:val="center"/>
      <w:rPr>
        <w:b/>
        <w:color w:val="000080"/>
        <w:sz w:val="18"/>
        <w:szCs w:val="18"/>
        <w:lang w:val="fr-FR"/>
      </w:rPr>
    </w:pPr>
    <w:r w:rsidRPr="00EE34C3">
      <w:rPr>
        <w:b/>
        <w:color w:val="000080"/>
        <w:sz w:val="18"/>
        <w:szCs w:val="18"/>
        <w:lang w:val="es-GT"/>
      </w:rPr>
      <w:t xml:space="preserve">Tels. y Fax: </w:t>
    </w:r>
    <w:r>
      <w:rPr>
        <w:b/>
        <w:color w:val="000080"/>
        <w:sz w:val="18"/>
        <w:szCs w:val="18"/>
        <w:lang w:val="fr-FR"/>
      </w:rPr>
      <w:t xml:space="preserve">(502) 2228-7124 – (502) 2362-0480- (502) 2362-0481 </w:t>
    </w:r>
    <w:r w:rsidRPr="002A5847">
      <w:rPr>
        <w:b/>
        <w:color w:val="000080"/>
        <w:sz w:val="18"/>
        <w:szCs w:val="18"/>
        <w:lang w:val="fr-FR"/>
      </w:rPr>
      <w:t xml:space="preserve">* </w:t>
    </w:r>
    <w:hyperlink r:id="rId1" w:history="1">
      <w:r w:rsidRPr="00164A60">
        <w:rPr>
          <w:rStyle w:val="Hipervnculo"/>
          <w:b/>
          <w:sz w:val="18"/>
          <w:szCs w:val="18"/>
          <w:lang w:val="fr-FR"/>
        </w:rPr>
        <w:t>anado@conader.com.gt</w:t>
      </w:r>
    </w:hyperlink>
    <w:r>
      <w:rPr>
        <w:b/>
        <w:color w:val="000080"/>
        <w:sz w:val="18"/>
        <w:szCs w:val="18"/>
        <w:lang w:val="fr-FR"/>
      </w:rPr>
      <w:t xml:space="preserve"> / </w:t>
    </w:r>
    <w:hyperlink r:id="rId2" w:history="1">
      <w:r w:rsidRPr="00164A60">
        <w:rPr>
          <w:rStyle w:val="Hipervnculo"/>
          <w:b/>
          <w:sz w:val="18"/>
          <w:szCs w:val="18"/>
          <w:lang w:val="fr-FR"/>
        </w:rPr>
        <w:t>educacionantidopajegua@gmail.com</w:t>
      </w:r>
    </w:hyperlink>
    <w:r>
      <w:rPr>
        <w:b/>
        <w:color w:val="000080"/>
        <w:sz w:val="18"/>
        <w:szCs w:val="18"/>
        <w:lang w:val="fr-FR"/>
      </w:rPr>
      <w:t xml:space="preserve"> </w:t>
    </w:r>
  </w:p>
  <w:p w14:paraId="7A5A6C21" w14:textId="77777777" w:rsidR="00C9070A" w:rsidRPr="002A5847" w:rsidRDefault="00C9070A" w:rsidP="00C9070A">
    <w:pPr>
      <w:ind w:left="-540" w:right="-496"/>
      <w:jc w:val="center"/>
      <w:rPr>
        <w:b/>
        <w:color w:val="000080"/>
        <w:sz w:val="18"/>
        <w:szCs w:val="18"/>
        <w:lang w:val="fr-FR"/>
      </w:rPr>
    </w:pPr>
  </w:p>
  <w:p w14:paraId="11D72900" w14:textId="77777777" w:rsidR="00C9070A" w:rsidRPr="00C9070A" w:rsidRDefault="00C9070A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DE5D" w14:textId="77777777" w:rsidR="00B10880" w:rsidRDefault="00B10880" w:rsidP="00B4370B">
      <w:pPr>
        <w:spacing w:after="0" w:line="240" w:lineRule="auto"/>
      </w:pPr>
      <w:r>
        <w:separator/>
      </w:r>
    </w:p>
  </w:footnote>
  <w:footnote w:type="continuationSeparator" w:id="0">
    <w:p w14:paraId="4A1C8573" w14:textId="77777777" w:rsidR="00B10880" w:rsidRDefault="00B10880" w:rsidP="00B4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FF76" w14:textId="5C7A8ABF" w:rsidR="00B4370B" w:rsidRDefault="00C9070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9CEF1" wp14:editId="10454F4E">
          <wp:simplePos x="0" y="0"/>
          <wp:positionH relativeFrom="page">
            <wp:posOffset>2266950</wp:posOffset>
          </wp:positionH>
          <wp:positionV relativeFrom="paragraph">
            <wp:posOffset>-28575</wp:posOffset>
          </wp:positionV>
          <wp:extent cx="2943225" cy="1061720"/>
          <wp:effectExtent l="0" t="0" r="9525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4B1"/>
    <w:multiLevelType w:val="hybridMultilevel"/>
    <w:tmpl w:val="58D69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929F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45F"/>
    <w:multiLevelType w:val="hybridMultilevel"/>
    <w:tmpl w:val="95707E6C"/>
    <w:lvl w:ilvl="0" w:tplc="6CF0C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9AD"/>
    <w:multiLevelType w:val="hybridMultilevel"/>
    <w:tmpl w:val="35EAA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28E2"/>
    <w:multiLevelType w:val="hybridMultilevel"/>
    <w:tmpl w:val="3D8EC708"/>
    <w:lvl w:ilvl="0" w:tplc="0B6A23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3B9"/>
    <w:multiLevelType w:val="hybridMultilevel"/>
    <w:tmpl w:val="A7922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D3BEE"/>
    <w:multiLevelType w:val="hybridMultilevel"/>
    <w:tmpl w:val="A3E05584"/>
    <w:lvl w:ilvl="0" w:tplc="BBEE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A3AF3"/>
    <w:multiLevelType w:val="hybridMultilevel"/>
    <w:tmpl w:val="29FE5F62"/>
    <w:lvl w:ilvl="0" w:tplc="BFEA2D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EC"/>
    <w:rsid w:val="0006624C"/>
    <w:rsid w:val="00090F4D"/>
    <w:rsid w:val="00193BA9"/>
    <w:rsid w:val="001C1A68"/>
    <w:rsid w:val="00205C5E"/>
    <w:rsid w:val="003F5334"/>
    <w:rsid w:val="007D0503"/>
    <w:rsid w:val="00827DEB"/>
    <w:rsid w:val="008E2EB1"/>
    <w:rsid w:val="0090226E"/>
    <w:rsid w:val="0095129A"/>
    <w:rsid w:val="00961482"/>
    <w:rsid w:val="00A82995"/>
    <w:rsid w:val="00B10880"/>
    <w:rsid w:val="00B4370B"/>
    <w:rsid w:val="00BA7DB0"/>
    <w:rsid w:val="00C00AA0"/>
    <w:rsid w:val="00C9070A"/>
    <w:rsid w:val="00D56FAB"/>
    <w:rsid w:val="00DE2BEC"/>
    <w:rsid w:val="00EC1785"/>
    <w:rsid w:val="00EE13F5"/>
    <w:rsid w:val="00F2615B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1202EB"/>
  <w15:chartTrackingRefBased/>
  <w15:docId w15:val="{4F9940C1-6EF6-4DCD-9D12-642BBD44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3B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0B"/>
  </w:style>
  <w:style w:type="paragraph" w:styleId="Piedepgina">
    <w:name w:val="footer"/>
    <w:basedOn w:val="Normal"/>
    <w:link w:val="PiedepginaCar"/>
    <w:uiPriority w:val="99"/>
    <w:unhideWhenUsed/>
    <w:rsid w:val="00B4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0B"/>
  </w:style>
  <w:style w:type="character" w:styleId="Hipervnculo">
    <w:name w:val="Hyperlink"/>
    <w:basedOn w:val="Fuentedeprrafopredeter"/>
    <w:rsid w:val="00C907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onantidopajegua@gmail.com" TargetMode="External"/><Relationship Id="rId1" Type="http://schemas.openxmlformats.org/officeDocument/2006/relationships/hyperlink" Target="mailto:anado@conader.com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Renato Duran Menendez</dc:creator>
  <cp:keywords/>
  <dc:description/>
  <cp:lastModifiedBy>COORDINADOR TÉCNICO</cp:lastModifiedBy>
  <cp:revision>2</cp:revision>
  <dcterms:created xsi:type="dcterms:W3CDTF">2021-01-15T14:27:00Z</dcterms:created>
  <dcterms:modified xsi:type="dcterms:W3CDTF">2021-01-15T14:27:00Z</dcterms:modified>
</cp:coreProperties>
</file>